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F2" w:rsidRPr="00B52338" w:rsidRDefault="00B52338" w:rsidP="00B832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832F2"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32F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Исполнительного комитета</w:t>
      </w:r>
    </w:p>
    <w:p w:rsid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Кайбицкого муниципального района</w:t>
      </w:r>
    </w:p>
    <w:p w:rsidR="00B52338" w:rsidRP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</w:t>
      </w:r>
    </w:p>
    <w:p w:rsidR="00693B41" w:rsidRPr="00693B41" w:rsidRDefault="00693B41" w:rsidP="00693B41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6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27.01 2016 г. № 34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38" w:rsidRPr="00B52338" w:rsidRDefault="00B52338" w:rsidP="00B52338">
      <w:pPr>
        <w:tabs>
          <w:tab w:val="left" w:pos="5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2"/>
      <w:bookmarkEnd w:id="1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по оформлению</w:t>
      </w:r>
      <w:r w:rsidRPr="00B52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охранного обязательства собственникам и пользователям на </w:t>
      </w:r>
      <w:r w:rsidRPr="00B5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культурного наследия местного (муниципального) значения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оформлению охранного обязательства собственникам и пользователям на объект культурного наследия местного (муниципального) значения (далее - муниципальная услуга).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оформлению охранного обязательства собственникам и пользователям на объект культурного наследия не распространяется на объекты культурного наследия федерального и республиканского (регионального) значения, а также находящиеся в федеральной собственности, перечень которых утверждается Правительством Российской Федерации.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Получатели муниципальной услуги: юридические лица, индивидуальные предприниматели и физические лица (далее - заявитель), являющиеся собственниками и пользователями объекта культурного наследия местного (муниципального) значения.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исполнительным комитетом Кайбицкого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(далее – Исполком).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муниципальной услуги - отдел  Исполкома (далее – Отдел культуры).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исполкома: 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Кайбицкий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.Б.Кайбицы,ул.С.Бульвар,д.7</w:t>
      </w:r>
    </w:p>
    <w:p w:rsidR="00B52338" w:rsidRPr="00B52338" w:rsidRDefault="00B52338" w:rsidP="00B52338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Отдела культуры: 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Кайбицкий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район,с.Б.Кайбицы,ул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исматуллина,д.12.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четверг: с 08.00 до 17.00; 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с 08.00 до 17.00; 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8(84370)21672. 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по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удостоверяющим личность.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B52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8" w:history="1"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52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http://kaybici.tatarstan.ru/.</w:t>
        </w:r>
        <w:proofErr w:type="spellStart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52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1.3.3. Информация о муниципальной услуге может быть получена: 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 (</w:t>
      </w:r>
      <w:r w:rsidRPr="00B52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9" w:history="1"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523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http://kaybici.tatarstan.ru/.</w:t>
        </w:r>
        <w:proofErr w:type="spellStart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52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);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B52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proofErr w:type="spellStart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B52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1" w:history="1"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 (Отделе):</w:t>
      </w:r>
    </w:p>
    <w:p w:rsidR="00B52338" w:rsidRPr="00B52338" w:rsidRDefault="00B52338" w:rsidP="00B5233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hyperlink r:id="rId12" w:history="1">
        <w:r w:rsidRPr="00B52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утвержденным Федеральным законом от 29.12.2004 № 190-ФЗ (далее – ГРК РФ) (Собрание законодательства Российской Федерации, 03.01.2005, № 1 (часть 1);</w:t>
      </w:r>
      <w:proofErr w:type="gramEnd"/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</w:t>
      </w:r>
      <w:hyperlink r:id="rId13" w:history="1">
        <w:r w:rsidRPr="00B52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утвержденным Федеральным законом от 25.10.2001 № 136-ФЗ (далее – ЗК РФ) (Собрание законодательства Российской Федерации, 29.10.2001, № 44, статьи 41 - 47);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4" w:history="1">
        <w:r w:rsidRPr="00B52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 (далее – Федеральный закон №73-ФЗ) (Собрание законодательства Российской Федерации, 01.07.2002, № 26, статья 2519);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(«Российская газета», №168, 30.07.2010) (далее – Федеральный закон №210-ФЗ);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культуры СССР от 13.05.1986 №203 «Об утверждении «Инструкции о порядке учета, обеспечения сохранности, содержания, использования и реставрации недвижимых памятников истории и культуры»;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16.12.2002 № 894 «О порядке подготовки и выполнения охранных обязатель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приватизации объектов культурного наследия» (далее – постановление – 894) (Российская газета, № 2, 09.01.2003);</w:t>
      </w:r>
    </w:p>
    <w:p w:rsidR="00B52338" w:rsidRPr="00B52338" w:rsidRDefault="00B7264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52338" w:rsidRPr="00B52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52338"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26.04.2008 № 315 «Об утверждении Положения о зонах охраны объектов культурного наследия </w:t>
      </w:r>
      <w:r w:rsidR="00B52338"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(памятников истории и культуры) народов Российской Федерации» (далее - постановление №315) (Собрание законодательства Российской Федерации, 05.05.2008, № 18);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B52338" w:rsidRPr="00B52338" w:rsidRDefault="00B7264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52338" w:rsidRPr="00B52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52338"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от 01.04.2005 № 60-ЗРТ «Об объектах культурного наследия в Республике Татарстан» (далее – Закон РТ №60-ЗРТ) (Ведомости Государственного Совета Татарстана, апрель (I часть), 2005, № 4, статья 340);</w:t>
      </w:r>
    </w:p>
    <w:p w:rsidR="00B52338" w:rsidRPr="00B52338" w:rsidRDefault="00B7264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52338" w:rsidRPr="00B52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="00B52338"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Кайбицкого муниципального района</w:t>
      </w:r>
      <w:proofErr w:type="gramStart"/>
      <w:r w:rsidR="00B52338"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52338"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руководителем Исполнительного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Кайбицкого муниципального района Республики Татарстан, принятого Решением Совета Кайбицкого муниципального района от 26 апреля 2011 №50 (далее – Устав);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исполнительном комитете Кайбицкого  муниципального района, от 13.04.2013 №168, утвержденным Решением Совета Кайбицкого  муниципального района (далее – Положение об ИК);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отделе, утвержденным приказом руководителя Исполкома от 08.07.2013 №411 (далее – Положение об отделе);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 Исполкома, утвержденными распоряжением руководителя Исполкома от 16 февраля 2015 (далее – Правила).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настоящем Регламенте используются следующие термины и определения: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культурного наследия местного (муниципального) значения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-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источников информации о которых являются археологические раскопки или находки;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объекта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надзор;</w:t>
      </w:r>
      <w:proofErr w:type="gramEnd"/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 объекта культурного наследия - физическое или юридическое лицо, которое обладает на праве собственности объектом культурного наследия, включенным в реестр, или выявленным объектом культурного наследия и несет бремя содержания принадлежащего ему объекта с учетом требований законодательства об объектах культурного наследия;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объекта культурного наследия - физическое или юридическое лицо, которое пользуется объектом культурного наследия, включенным в реестр, или выявленным объектом культурного наследия на основании договоров аренды, безвозмездного пользования, оперативного управления, доверительного управления или иных договоров, предусматривающих владение и пользование объектом культурного наследия,  и производит за счет собственных средств работы по сохранению и содержанию объекта культурного наследия;</w:t>
      </w:r>
      <w:proofErr w:type="gramEnd"/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охранное обязательство - соглашение, заключенное между собственником или пользователем объекта культурного наследия и Управлением, определяющее условия доступа к нему, а также иные условия, обеспечивающие сохранность объекта культурного наследия;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охраны - описание особенностей объекта, послуживших основаниями для включения его в реестр и подлежащих обязательному сохранению;</w:t>
      </w:r>
    </w:p>
    <w:p w:rsidR="00B52338" w:rsidRPr="00B52338" w:rsidRDefault="00B52338" w:rsidP="00B5233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2338" w:rsidRPr="00B52338" w:rsidRDefault="00B52338" w:rsidP="00B52338">
      <w:pPr>
        <w:tabs>
          <w:tab w:val="left" w:pos="600"/>
          <w:tab w:val="left" w:pos="6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338" w:rsidRPr="00B52338" w:rsidSect="00E13F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B5233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B52338" w:rsidRPr="00B52338" w:rsidRDefault="00B52338" w:rsidP="00B5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7152"/>
        <w:gridCol w:w="3698"/>
      </w:tblGrid>
      <w:tr w:rsidR="00B52338" w:rsidRPr="00B52338" w:rsidTr="00C2652D">
        <w:trPr>
          <w:trHeight w:val="792"/>
        </w:trPr>
        <w:tc>
          <w:tcPr>
            <w:tcW w:w="3936" w:type="dxa"/>
            <w:shd w:val="clear" w:color="auto" w:fill="auto"/>
            <w:vAlign w:val="center"/>
          </w:tcPr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152" w:type="dxa"/>
            <w:shd w:val="clear" w:color="auto" w:fill="auto"/>
            <w:vAlign w:val="center"/>
          </w:tcPr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охранного обязательства собственникам и пользователям на объект культурного наследия местного (муниципального) значения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46 и пункт 4 ст. 48  Федерального закона №73-ФЗ от 25.06.2002;</w:t>
            </w:r>
          </w:p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ст. 24.1 и 24.2 Закона Республики Татарстан № 60-ЗРТ от 01.04.2005 </w:t>
            </w: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B52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 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Кайбицкого </w:t>
            </w: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Республики Татарстан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ИК</w:t>
            </w: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1.Документ установленного образца (приложение №2)</w:t>
            </w:r>
          </w:p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Уведомление об отказе в предоставлении муниципальной услуги</w:t>
            </w:r>
          </w:p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Уведомление о приостановке услуги заключения охранного обязательства</w:t>
            </w:r>
          </w:p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Дубликат документа установленного образца (приложение №2)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16.12.2002 № 894 </w:t>
            </w: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охранного обязательства в течение 31 дней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день подачи заявления.</w:t>
            </w:r>
          </w:p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охранного обязательства в течение 25 дней.</w:t>
            </w:r>
          </w:p>
          <w:p w:rsidR="00B52338" w:rsidRPr="00B52338" w:rsidRDefault="00B52338" w:rsidP="00B523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дубликата охранного обязательства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осуществляется в течение трех дней с момента поступления заявления</w:t>
            </w:r>
          </w:p>
          <w:p w:rsidR="00B52338" w:rsidRPr="00B52338" w:rsidRDefault="00B52338" w:rsidP="00B523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приостановке заключения охранного обязательства осуществляется в течение трех дней после истечения сроков представления подписанных собственником (пользователем) документов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охранного обязательства необходимо предоставить: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Заявление; 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Документы, удостоверяющие личность;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 Документы, подтверждающие право на объект недвижимости, не прошедшие государственную регистрацию (договор аренды или договор безвозмездного срочного пользования сроком до одного года), технический паспорт БТИ или (или 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техплан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страничка, подтверждающая регистрацию органами БТИ, прошедшие регистрацию (учет) прав, решение суда.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Технический паспорт (технический план) на объект культурного наследия местного (муниципального) значения, прошедший кадастровый учет.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переоформления охранного обязательства необходимо представить: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Заявление (допускается свободная форма написания);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2) Документы удостоверяющие личность;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Документы, подтверждающие право на объект недвижимости, не прошедшие государственную регистрацию (договор аренды сроком до одного года или договор безвозмездного пользования), технический паспорт БТИ (или технический план) – страничка, подтверждающая регистрацию органами БТИ, прошедшие регистрацию (учет) прав, решение суда;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Оригинал ранее выданного охранного обязательства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 Технический паспорт (технический план) на объект культурного наследия местного (муниципального) значения, прошедший кадастровый учет.</w:t>
            </w:r>
          </w:p>
          <w:p w:rsidR="00B52338" w:rsidRPr="00B52338" w:rsidRDefault="00B52338" w:rsidP="00B523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дубликата охранного обязательства необходимо представить: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Заявление; 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Документы, удостоверяющие личность;</w:t>
            </w:r>
          </w:p>
          <w:p w:rsidR="00B52338" w:rsidRPr="00B52338" w:rsidRDefault="00B52338" w:rsidP="00B523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постановлением Правительства Российской Федерации от 16.12.2002 № 894 </w:t>
            </w: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 </w:t>
            </w: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и иных организаций и которые заявитель вправе представить</w:t>
            </w:r>
            <w:r w:rsidRPr="00B5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Сведения из ЕГРЮЛ либо сведения из ЕГРИП;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</w:t>
            </w:r>
            <w:r w:rsidRPr="00B52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. 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 В заявлении и прилагаемых к заявлению документах имеются неоговоренные исправления, серьезные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повреждения, не позволяющие однозначно истолковать их содержание;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Правоустанавливающие документы не скреплены печатями;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5) Представление документов в ненадлежащий орган.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услуги: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предоставление заявителем подписанных документов охранного обязательства на визирование уполномоченному должностному лицу в течени</w:t>
            </w: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 дней с момента получения указанных материалов на руки.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Если здание, в отношении которого поступило заявление о подготовке охранного обязательства, не является объектом культурного наследия местного (муниципального) значения;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 Если собственником (пользователем) объекта культурного наследия не предоставлен сотруднику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 доступ на объект культурного наследия и его территорию для обследования и фото фиксации существующего состояния объекта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 4 ст. 48 и пункт 5 ст. 55 Федерального закона №73-ФЗ от 25.06.2002;</w:t>
            </w: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jc w:val="both"/>
              <w:outlineLvl w:val="2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Порядок, размер и основание взимания платы за выдачу технического паспорта (технического плана) определяется Порядком определения платы за необходимые и обязательные услуги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B52338" w:rsidRPr="00B52338" w:rsidRDefault="00B52338" w:rsidP="00B523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</w:t>
            </w:r>
            <w:r w:rsidRPr="00B523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в электронной форме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 течение одного дня с момента поступления заявления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B52338" w:rsidRPr="00B52338" w:rsidRDefault="00B52338" w:rsidP="00B5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2.15. </w:t>
            </w: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B5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 в зоне доступности общественного транспорта;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предоставления муниципальной услуги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характеризуется отсутствием: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B52338" w:rsidRPr="00B52338" w:rsidRDefault="00B52338" w:rsidP="00B5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  Кайбицкого муниципального района, на Едином портале государственных и муниципальных услуг, в МФЦ</w:t>
            </w:r>
            <w:proofErr w:type="gramEnd"/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3936" w:type="dxa"/>
            <w:shd w:val="clear" w:color="auto" w:fill="auto"/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152" w:type="dxa"/>
            <w:shd w:val="clear" w:color="auto" w:fill="auto"/>
          </w:tcPr>
          <w:p w:rsidR="00B52338" w:rsidRPr="00B52338" w:rsidRDefault="00B52338" w:rsidP="00B523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B52338" w:rsidRPr="00B52338" w:rsidRDefault="00B52338" w:rsidP="00B523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случае</w:t>
            </w:r>
            <w:proofErr w:type="gramStart"/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</w:t>
            </w:r>
            <w:r w:rsidRPr="00B52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форме заявление подается через 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8" w:history="1">
              <w:r w:rsidRPr="00B523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B523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B523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9" w:history="1">
              <w:r w:rsidRPr="00B523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B523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523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B523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B523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B523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8" w:type="dxa"/>
            <w:shd w:val="clear" w:color="auto" w:fill="auto"/>
          </w:tcPr>
          <w:p w:rsidR="00B52338" w:rsidRPr="00B52338" w:rsidRDefault="00B52338" w:rsidP="00B52338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338" w:rsidRPr="00B52338" w:rsidSect="0000453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B523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B5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B5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процедуры: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Оформление охранного обязательства: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выдача и подписание проекта охранного обязательства результата  муниципальной услуги;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выдача заявителю результата муниципальной услуги.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Переоформление охранного обязательства: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результата муниципальной услуги;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муниципальной услуги.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дубликата охранного обязательства: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результата муниципальной услуги;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муниципальной услуги.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Блок-схемы последовательности действий по предоставлению муниципальной услуги представлены в приложении №4, №5, №6.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охранного обязательства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B52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Отдел.</w:t>
      </w:r>
      <w:r w:rsidRPr="00B523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поданы через удаленное рабочее место. Список удаленных рабочих мест приведен в приложении №7.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Отдела, ведущий прием заявлений, осуществляет: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специалист Отдела осуществляет: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на рассмотрение руководителю Исполкома.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течение 15 минут;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Специалист Отдела </w:t>
      </w:r>
      <w:r w:rsidRPr="00B52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Сведения из ЕГРЮЛ либо сведения из ЕГРИП;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сведений о государственной регистрации права на объект культурного наследия или его часть.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 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направленный запрос. 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2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3.4.2. 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 w:rsidRPr="00B52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предоставляют запрашиваемые документы</w:t>
      </w:r>
      <w:proofErr w:type="gramEnd"/>
      <w:r w:rsidRPr="00B523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Отдел.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Подготовка результата муниципальной услуги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Сотрудник отдела осуществляет: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сведений, содержащихся в документах, прилагаемых к заявлению;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и осуществляет процедуры, предусмотренные подпунктом 3.5.3 настоящего Регламента.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осуществляет: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является ли здание объектом культурного наследия местного (муниципального) значения;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архивных материалов (при наличии) для использования их при определении предмета охраны;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собранной информацию и принятие решения о необходимости заключения охранного обязательства.</w:t>
      </w:r>
      <w:proofErr w:type="gramEnd"/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трех 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поступления всех материалов в Отдел.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документы, принятые, изученные, проверенные и проанализированные сотрудником уполномоченного отдела.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Сотрудник отдела осуществляет: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по телефону собственника (пользователя) объекта культурного наследия о времени выезда к объекту культурного наследия;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осмотра объекта культурного наследия и его территории;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фасада, интерьера и элементов здания (зданий), территории объекта культурного наследия;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акта технического состояния объекта культурного наследия и плана мероприятий для проведения работ по сохранению объекта культурного наследия;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предмета охраны с учетом выполненного акта технического состояния и архивных материалов (при наличии).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14 дней со дня установления необходимости заключения охранного обязательства.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изучение и фиксирование состояния объекта культурного наследия с определением работ на объекте культурного наследия для его сохранения.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75"/>
      <w:bookmarkEnd w:id="2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Сотрудник Отдела: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формы охранного обязательства в трех экземплярах;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 к проекту охранного обязательства приложения, оформленные в трех экземплярах;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сопроводительное письмо о направлении охранного обязательства для подписания собственнику (пользователю) объекта культурного наследия;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сопроводительное письмо.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согласовывается в установленном порядке;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сопроводительное письмо.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муниципальной услуги согласовывает и подписывает в установленном порядке письмо об отказе.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поступления и сбора всех материалов в Отдел.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составленный проект охранного обязательства, приложения и подписанное сопроводительное письмо или письмо об отказе.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и подписание проекта охранного обязательства результата  муниципальной услуги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Специалист Отдела извещает заявителя о принятом решении и выдает заявителю проект охранного обязательства, приложения и подписанное сопроводительное письмо или направляет по почте мотивированный отказ.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проекта охранного обязательства, приложения и подписанного сопроводительного письма - в течение 15 минут, в порядке очередности, в день прибытия заявителя;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мотивированного отказа почтовым отправлением – </w:t>
      </w:r>
      <w:r w:rsidRPr="00B52338">
        <w:rPr>
          <w:rFonts w:ascii="Times New Roman" w:eastAsia="Times New Roman" w:hAnsi="Times New Roman" w:cs="Arial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выданный проект охранного обязательства, приложения и подписанное сопроводительное письмо или направленный по почте мотивированный отказ.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Получатель муниципальной услуги сдает подписанные им три экземпляра проекта охранного обязательства и приложения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с сопроводительным письмом в Отдел в течение трех дней с момента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получения. </w:t>
      </w: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Отдела, ведущий прием заявлений, осуществляет процедуры предусмотренные подпунктами 3.3.2, 3.3.3. настоящего Регламента.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соответствии с </w:t>
      </w: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подпунктами 3.3.2, 3.3.3. настоящего Регламента.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 с проектом охранного обязательства и приложениями к нему, направленное на рассмотрение руководителю Исполкома, переданное в отдел исполнителю или возвращенные заявителю документы. 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Сотрудник Отдела: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проверку документов на комплектность и достоверность информации в проекте охранного обязательства и его приложениях, наличие всех необходимых подписей; 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сопроводительное письмо, прикладывает его к проекту охранного обязательства с приложениями, передает на подписание руководителю Исполкома.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трех дней со дня поступления материалов в Отдел.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подписанное руководителем Исполкома охранное обязательство, приложения и подписанное сопроводительное письмо или письмо об отказе.</w:t>
      </w:r>
    </w:p>
    <w:p w:rsidR="00B52338" w:rsidRPr="00B52338" w:rsidRDefault="00B52338" w:rsidP="00B52338">
      <w:pPr>
        <w:tabs>
          <w:tab w:val="left" w:pos="60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Выдача заявителю результата муниципальной услуги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Специалист Отдела извещает заявителя о принятом решении и выдает заявителю подписанное руководителем Исполкома охранное обязательство, приложения и подписанное сопроводительное письмо или направляет по почте мотивированный отказ.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подписанного охранного обязательства, приложения и подписанного сопроводительного письма - в течение 15 минут, в порядке очередности, в день прибытия заявителя;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мотивированного отказа почтовым отправлением – </w:t>
      </w:r>
      <w:r w:rsidRPr="00B52338">
        <w:rPr>
          <w:rFonts w:ascii="Times New Roman" w:eastAsia="Times New Roman" w:hAnsi="Times New Roman" w:cs="Arial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выданное подписанное охранное обязательство и приложения в двух экземплярах, а также подписанное сопроводительное письмо или направленный по почте мотивированный отказ.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Переоформление охранного обязательства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Оказание консультаций заявителю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Принятие и регистрация заявления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 Заявитель лично или через доверенное лицо подает письменное заявление о предоставлении муниципальной услуги</w:t>
      </w:r>
      <w:r w:rsidRPr="00B52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Отдел.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3.9.2. </w:t>
      </w: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Отдела, ведущий прием заявлений, осуществляет процедуры предусмотренные подпунктом 3.3.2 настоящего регламента.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течение 15 минут;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 Руководитель Исполкома рассматривает заявление, определяет исполнителя и направляет заявление в Отдел.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Подготовка результата муниципальной услуги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Сотрудник отдела осуществляет: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сведений, содержащихся в документах, прилагаемых к заявлению;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Отдела осуществляет подготовку проекта мотивированного отказа и осуществляет процедуры, предусмотренные подпунктом 3.5.3 настоящего Регламента.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уточняет, является ли здание объектом культурного наследия местного (муниципального) значения</w:t>
      </w:r>
      <w:r w:rsidRPr="00B5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 архивные материалы (при наличии) для использования их при уточнении предмета охраны; 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необходимость выхода на место расположения объекта культуры;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собранную информацию и принимает решения о необходимости переоформления охранного обязательства.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трех дней со дня поступления всех материалов в Отдел.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документы, принятые, изученные, проверенные и проанализированные сотрудником уполномоченного отдела.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 Сотрудник отдела осуществляет: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по телефону собственника (пользователя) объекта культурного наследия о времени выезда к объекту культурного наследия;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осмотра объекта культурного наследия и его территории;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фото фиксацию фасада, интерьера и элементов здания (зданий), территории объекта культурного наследия;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акта технического состояния объекта культурного наследия и плана мероприятий для проведения работ по сохранению объекта культурного наследия;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предмета охраны с учетом выполненного акта технического состояния и архивных материалов (при наличии).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14 дней со дня установления необходимости в переоформлении охранного обязательства.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изучение и фиксирование состояния объекта культурного наследия с определением работ на объекте культурного наследия для его сохранения.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Сотрудник Отдела: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формы охранного обязательства в трех экземплярах;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 к переоформленному охранному обязательству приложения, оформленные в трех экземплярах;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сопроводительное письмо о направлении переоформленного охранного обязательства для подписания собственнику (пользователю) объекта культурного наследия;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сопроводительное письмо.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 согласовывается в установленном порядке;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сопроводительное письмо.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муниципальной услуги согласовывает и подписывает в установленном порядке письмо об отказе.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поступления материалов в Отдел.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процедур: переоформленное охранное обязательство, приложения и подписанное сопроводительное письмо или письмо об отказе.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tabs>
          <w:tab w:val="left" w:pos="60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Подготовка результата муниципальной услуги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3.11.1. Специалист Отдела извещает заявителя о принятом решении и выдает заявителю проект переоформленного охранного обязательства, приложения и подписанное сопроводительное письмо или направляет по почте мотивированный отказ.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проекта переоформленного охранного обязательства, приложения и подписанного сопроводительного письма - в течение 15 минут, в порядке очередности, в день прибытия заявителя;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мотивированного отказа почтовым отправлением – </w:t>
      </w:r>
      <w:r w:rsidRPr="00B52338">
        <w:rPr>
          <w:rFonts w:ascii="Times New Roman" w:eastAsia="Times New Roman" w:hAnsi="Times New Roman" w:cs="Arial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выданный проект переоформленного охранного обязательства, приложения и подписанное сопроводительное письмо или направленный по почте мотивированный отказ.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3.11.2. Получатель муниципальной услуги сдает подписанные им три экземпляра проекта переоформленного охранного обязательства и приложения к нему с сопроводительным письмом в Отдел течение трех дней с момента их получения. </w:t>
      </w: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Отдела, ведущий прием заявлений, осуществляет процедуры предусмотренные подпунктами 3.3.2, 3.3.3. настоящего Регламента.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соответствии с </w:t>
      </w: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подпунктами 3.3.2, 3.3.3. настоящего Регламента.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 с проектом переоформленного охранного обязательства и приложениями к нему, направленное на рассмотрение руководителю Исполкома, переданное в отдел исполнителю или возвращенные заявителю документы. 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3.11.3. Сотрудник Отдела: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проверку документов на комплектность и достоверность информации в проекте переоформленного охранного обязательства и его приложениях, наличие всех необходимых подписей; 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сопроводительное письмо, прикладывает его к проекту переоформленного охранного обязательства с приложениями, передает на подписание руководителю Исполкома.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трех дней со дня поступления материалов в Отдел.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подписанное руководителем Исполкома переоформленного охранное обязательство, приложения и подписанное сопроводительное письмо или письмо об отказе.</w:t>
      </w:r>
    </w:p>
    <w:p w:rsidR="00B52338" w:rsidRPr="00B52338" w:rsidRDefault="00B52338" w:rsidP="00B52338">
      <w:pPr>
        <w:tabs>
          <w:tab w:val="left" w:pos="60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Выдача заявителю результата муниципальной услуги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Специалист Отдела извещает заявителя о принятом решении и выдает заявителю подписанное руководителем Исполкома переоформленное охранное обязательство, приложения и подписанное сопроводительное письмо или направляет по почте мотивированный отказ.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подписанного переоформленного охранного обязательства, приложения и подписанного сопроводительного письма - в течение 15 минут, в порядке очередности, в день прибытия заявителя;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мотивированного отказа почтовым отправлением – </w:t>
      </w:r>
      <w:r w:rsidRPr="00B52338">
        <w:rPr>
          <w:rFonts w:ascii="Times New Roman" w:eastAsia="Times New Roman" w:hAnsi="Times New Roman" w:cs="Arial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выданное подписанное переоформленного охранное обязательство и приложения в двух экземплярах, а также подписанное сопроводительное письмо или направленный по почте мотивированный отказ.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дубликата охранного обязательства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Оказание консультаций заявителю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3.13.1.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Принятие и регистрация заявления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3.14.1. Заявитель лично или через доверенное лицо подает письменное заявление о предоставлении муниципальной услуги</w:t>
      </w:r>
      <w:r w:rsidRPr="00B52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Отдел.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3.14.2. </w:t>
      </w: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Отдела, ведущий прием заявлений, осуществляет процедуры предусмотренные подпунктом 3.3.2 настоящего регламента.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течение 15 минут;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заявления в течение одного дня с момента поступления заявления.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3.14.3. Руководитель Исполкома рассматривает заявление, определяет исполнителя и направляет заявление в Отдел.</w:t>
      </w:r>
    </w:p>
    <w:p w:rsidR="00B52338" w:rsidRPr="00B52338" w:rsidRDefault="00B52338" w:rsidP="00B52338">
      <w:pPr>
        <w:tabs>
          <w:tab w:val="left" w:pos="8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Подготовка результата муниципальной услуги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3.15.1. Специалист Отдела в случае отсутствия оснований для отказа в оказании муниципальной услуги, предусмотренных </w:t>
      </w:r>
      <w:hyperlink w:anchor="Par423" w:history="1">
        <w:r w:rsidRPr="00B52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2.9</w:t>
        </w:r>
      </w:hyperlink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выдаче дубликата охранного обязательства или об отказе в выдаче дубликата охранного обязательства;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сопроводительное письмо о выдаче дубликата охранного обязательства, оформляет дубликат охранного обязательства, заверяет личной подписью с указанием даты и должности, ставит на нем печать или готовый проект письма об отказе в выдаче дубликата охранного обязательства с указанием причин отказа;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подготовленные проекты документов на подпись уполномоченному должностному лицу.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муниципальной услуги подготавливает и согласовывает  в установленном порядке письмо об отказе.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трех дней с момента поступления заявления.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проекты документов, направленные на подпись уполномоченному должностному лицу.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3.15.2. Руководитель исполкома подписывает сопроводительное письмо с оформленным дубликатом охранного обязательства или письмо об отказе в выдаче дубликата с указанием причин отказа. Подписанные документы направляются специалисту Отдела.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течение одного дня с момента поступления документов на подпись. Результат процедуры: подписанные документы.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Выдача заявителю результата муниципальной услуги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3.16.1. Специалист Отдела: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с использованием способа связи, указанного в заявлении, о результате предоставления муниципальной услуги, о дате и времени выдачи дубликата охранного обязательства;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документ;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выдачу документов.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дубликата охранного обязательства, приложения и подписанного сопроводительного письма - в течение 15 минут, в порядке очередности, в день прибытия заявителя;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мотивированного отказа почтовым отправлением – </w:t>
      </w:r>
      <w:r w:rsidRPr="00B52338">
        <w:rPr>
          <w:rFonts w:ascii="Times New Roman" w:eastAsia="Times New Roman" w:hAnsi="Times New Roman" w:cs="Arial"/>
          <w:sz w:val="28"/>
          <w:szCs w:val="28"/>
          <w:lang w:eastAsia="ru-RU"/>
        </w:rPr>
        <w:t>в течение одного дня с момента окончания процедуры предусмотренной пунктом 3.15 настоящего Регламента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уведомление заявителя о результате предоставления муниципальной услуги и направление по почте либо выдача документов на руки заявителю в момент обращения.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Предоставление муниципальной услуги через МФЦ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3.17.1.  Заявитель вправе обратиться для получения муниципальной услуги в МФЦ, в удаленное рабочее место МФЦ. 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3.17.3. При поступлении документов из МФЦ на получение муниципальной услуги, процедуры осуществляются в соответствии с пунктами 3.3 – 3.15 настоящего Регламента. Результат муниципальной услуги направляется в МФЦ.</w:t>
      </w:r>
    </w:p>
    <w:p w:rsidR="00B52338" w:rsidRPr="00B52338" w:rsidRDefault="00B52338" w:rsidP="00B523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3.18. Исправление технических ошибок. 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>3.18.1.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№8);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>3.18.2.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3.18.3. </w:t>
      </w:r>
      <w:proofErr w:type="gramStart"/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Специалист Отдела рассматривает документы и в целях внесения </w:t>
      </w: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предоставлении</w:t>
      </w:r>
      <w:proofErr w:type="gramEnd"/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Отдел оригинала документа, в котором содержится техническая ошибка.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28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2338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B52338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B5233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B5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Татарстан, Кайбицкого муниципального района для предоставления муниципальной услуги;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Кайбицкого муниципального района для предоставления муниципальной услуги, у заявителя;</w:t>
      </w:r>
      <w:proofErr w:type="gramEnd"/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Кайбицкого муниципального района;</w:t>
      </w:r>
      <w:proofErr w:type="gramEnd"/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Кайбицкого муниципального района;</w:t>
      </w:r>
    </w:p>
    <w:p w:rsidR="00B52338" w:rsidRPr="00B52338" w:rsidRDefault="00B52338" w:rsidP="00B523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Кайбицкого муниципального района (http://www.___.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Республики Татарстан (</w:t>
      </w:r>
      <w:hyperlink r:id="rId20" w:history="1">
        <w:r w:rsidRPr="00B523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338" w:rsidRPr="00B52338" w:rsidSect="00097F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B52338" w:rsidRPr="00B52338" w:rsidRDefault="00B52338" w:rsidP="00B5233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B52338" w:rsidRPr="00B52338" w:rsidRDefault="00B52338" w:rsidP="00B5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pBdr>
          <w:top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33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B52338" w:rsidRPr="00B52338" w:rsidRDefault="00B52338" w:rsidP="00B52338">
      <w:pPr>
        <w:shd w:val="clear" w:color="auto" w:fill="FFFFFF"/>
        <w:tabs>
          <w:tab w:val="left" w:leader="underscore" w:pos="103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</w:t>
      </w:r>
      <w:proofErr w:type="gramEnd"/>
      <w:r w:rsidRPr="00B5233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B52338" w:rsidRPr="00B52338" w:rsidRDefault="00B52338" w:rsidP="00B5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B52338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оформлении охранного обязательства собственника или пользователя объекта культурного наследия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__________________20__г.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Исполнительным комитетом ____________________________________)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- полное наименование с указанием организационно-правовой формы; для физических лиц – Ф.И.О.)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является____________________________________________________________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(собственником, балансодержателем, арендатором, т.п.)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оформить охранное обязательство собственника или пользователя объекта культурного наследия: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и местонахождение объекта культурного наследия)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собственника или пользователя объекта культурного наследия:___________________________________________________________.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заказчика работ (если он отличается от фактического адреса):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информация: 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________________________________________________________.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_______________________________________________________.</w:t>
      </w:r>
    </w:p>
    <w:p w:rsidR="00B52338" w:rsidRPr="00B52338" w:rsidRDefault="00B52338" w:rsidP="00B5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отсканированные документы: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охранного обязательства необходимо предоставить: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удостоверяющие личность;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(если от имени заявителя действует представитель);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подтверждающие право на объект недвижимости, не прошедшие государственную регистрацию (договор аренды или договор безвозмездного срочного пользования сроком до одного года), технический паспорт БТИ или (или 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техплан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страничка, подтверждающая регистрацию органами БТИ, прошедшие регистрацию (учет) прав, решение суда.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Технический паспорт (технический план) на объект культурного наследия местного (муниципального) значения, прошедший кадастровый учет.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переоформления охранного обязательства необходимо представить: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удостоверяющие личность;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(если от имени заявителя действует представитель);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право на объект недвижимости, не прошедшие государственную регистрацию (договор аренды сроком до одного года или договор безвозмездного пользования), технический паспорт БТИ (или технический план) – страничка, подтверждающая регистрацию органами БТИ, прошедшие регистрацию (учет) прав, решение суда;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Оригинал ранее выданного охранного обязательства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Технический паспорт (технический план) на объект культурного наследия местного (муниципального) значения, прошедший кадастровый учет.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B52338" w:rsidRPr="00B52338" w:rsidTr="00C2652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52338" w:rsidRPr="00B52338" w:rsidRDefault="00B52338" w:rsidP="00B5233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52338" w:rsidRPr="00B52338" w:rsidRDefault="00B52338" w:rsidP="00B5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B52338" w:rsidRPr="00B52338" w:rsidRDefault="00B52338" w:rsidP="00B5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2338" w:rsidRPr="00B52338" w:rsidSect="00097F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(Форма)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Охранное обязательство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объект культурного наследия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(муниципального) значения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 историко-культурной значимости)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«____»__________ 20__ г.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 муниципального образования  _______________________ в лице руководителя Исполнительного комитета ______________________________, действующего на основании Положения, именуемое в дальнейшем – «Исполком»,</w:t>
      </w:r>
      <w:r w:rsidRPr="00B523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__________________________________________________________________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 или наименование юридического лица)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__________________, действующег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-ей) на основании _______________, именуемый(-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«Собственник» (Пользователь), вместе именуемые «Стороны», согласились о нижеследующем.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Пользователь обязуется обеспечить сохранность объекта культурного наследия </w:t>
      </w: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(муниципального) значения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Памятник) ____________________________________________________________________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 историко-культурной значимости, историческое наименование объекта)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________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(технический (кадастровый) паспорт от _________________ №_____, лит.____, кадастровый (инвентарный) номер:_______), расположенного по адресу:_____________________________.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использует Памятник на праве ________________________ на основании: ______________________________________________________.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и реквизиты документа, подтверждающего право на Памятник)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отнесения Памятника к числу объектов культурного наследия: __________________________________________________________.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органа государственной власти, дата и номер правового акта)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предмета охраны:_______________________________________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Предмет охраны утверждается в установленном законом порядке.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Отделимые архитектурно-художественные элементы интерьера, предметы декоративно-прикладного искусства, живописи, скульптуры, подлежащие воссозданию, а равно воссозданные «Собственником» (Пользователем), составляют единое целое с Памятником.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обеспечения сохранности Памятника «Собственник» (Пользователь) обязуется: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содержать Памятник в исправном техническом, санитарном и противопожарном состоянии, поддерживать территорию Памятника в благоустроенном состоянии.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содержания Памятника в исправном техническом, санитарном и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противопожарном состоянии, а также для поддержания территории в благоустроенном состоянии необходимо выполнить работы, которые не предусмотрены актом осмотра технического состояния либо актами текущего осмотра, «Собственник» (Пользователь) обязан согласовать ремонтно-реставрационные и иные работы с госорганом охраны объектов культурного наследия (Министерством культуры Республики Татарстан – далее - МК РТ);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«Собственник» (Пользователь) выполняет работы и обеспечивает данные работы документацией за свой счет;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выполнять работы в сроки, предусмотренные актом технического состояния, актами текущего технического осмотра, предписаниями;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текущего и технического осмотра Памятника составляется по инициативе Исполкома либо «Собственника» (Пользователя) не реже чем один раз в пять лет.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«Собственника» (Пользователя) (по его вине) разрешения на выполнение работ не освобождает его от ответственности за несоблюдение сроков выполнения работ;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Исполкомом новых сроков выполнения работ не влечет прекращения права на взыскание с «Собственника» (Пользователя) штрафов за невыполнение работ в сроки, предусмотренные в акте технического состояния либо в акте текущего технического осмотра Памятника;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приступать к выполнению работ на Памятнике и территории Памятника после получения положительного заключения государственной историко-культурной экспертизы и согласования проектной документации с МК РТ, выполненной на основании задания, согласованного с МК РТ и получения в МК РТ соответствующего разрешения на производство работ и осуществлять выполнение работ лицами, имеющих лицензию на право осуществления деятельности на объектах культурного наследия;</w:t>
      </w:r>
      <w:proofErr w:type="gramEnd"/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трехмесячный срок со дня выполнения указанных работ направлять в отчетную документацию о выполненных работах в МК РТ, информировать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заключивший охранное обязательство о завершении работ.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работ по сохранению объекта культурного наследия осуществляется МК РТ в порядке, установленным действующим законодательством;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обеспечивать охрану Памятника с целью пресечения действий третьих лиц, причиняющих ущерб или создающих угрозу причинения ущерба Памятнику или его территории (при наличии территории);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течение трех дней письменно известить Исполком и МК РТ обо всех известных «Собственнику» (Пользователю) повреждениях, авариях или иных обстоятельствах, причинивших ущерб Памятнику и (или) его территории (при наличии территории) или угрожающих причинением такого ущерба, безотлагательно принимать меры для предотвращения дальнейшего разрушения Памятника, а также незамедлительно проводить необходимые работы по его сохранению в соответствии с действующим;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производить установку информационных надписей на Памятнике в порядке, установленным нормативно-правовыми актами Кабинета министров Республики Татарстан и Исполкома;</w:t>
      </w:r>
      <w:proofErr w:type="gramEnd"/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обеспечивать допуск представителей Исполкома и МК РТ в помещения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Памятника и на его территорию. Допуск осуществляется при предъявлении представителями  Исполкома и МК РТ действующего служебного удостоверения;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не производить никакие виды работ на Памятнике без соответствующего разрешения, выданного МК РТ;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производстве работ на Памятнике не изменять предмет охраны Памятника;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течение трех дней со дня окончания выполнения работ (этапа работ) посредством письменного сообщения вызывать представителей МК РТ для составления с их участием акта выполненных работах (этапах работ), информировать Исполком о завершении работ на Памятнике и его территории;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изменять целевое назначение Памятника и не использовать Памятник и его территорию: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склады и производства взрывчатых и огнеопасных материалов, материалов, загрязняющих интерьер Памятника, его фасад, территорию и водные объекты, а также материалов, имеющих вредные парогазообразные и иные выделения;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производства, имеющие оборудование, оказывающее динамическое и вибрационное воздействие  на конструкции Памятника независимо от его мощности;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производства и лаборатории, связанные с неблагоприятным для Памятника температурно-влажностным режимом и применением химически активных веществ;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хранение машин и механизмов, строительных и иных материалов;</w:t>
      </w:r>
    </w:p>
    <w:p w:rsidR="00B52338" w:rsidRPr="00B52338" w:rsidRDefault="00B52338" w:rsidP="00B523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ремонтные мастерские; ремонт, хранение и стоянку транспортных средств;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в случае обнаружения в процессе работ археологических и иных неизвестных ранее объектов, обладающих признаками объекта культурного наследия, направить в трехдневный срок со дня их обнаружения письменное сообщение о них в МК РТ;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 запросу Исполкома в 10-дневный срок представлять имеющуюся у «Собственника» (Пользователя) документацию, касающуюся вопросов обеспечения сохранности и содержания Памятника;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в случае повреждения архитектурно-художественных элементов интерьера, предметов декоративно-прикладного искусства, живописи и (или) скульптуры, перечисленных в прилагаемой описи, «Собственник» (Пользователь) обязан устранить повреждения за свой счет;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производить передачу Памятника (его части) в пользование или аренду после обязательного предварительного уведомления Исполкома.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Санкции.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«Собственником» (Пользователем) условий содержания Памятника и (или) совершение действий, угрожающих сохранности данного объекта и влекущих его утрату, а также невыполнение условий настоящего охранного обязательства налагает на «Собственника» (Пользователя) ответственность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Республики Татарстан.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Охранное обязательство прекращает свое действие при прекращении права на Памятник, со дня его передачи по акту «Собственником» (Пользователем) третьему лицу.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«Собственник» (Пользователь) обязан в течение 10 дней </w:t>
      </w: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отчуждения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 уведомить об этом Исполком.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 изменении своих юридических адресов Стороны извещают друг друга в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10 дней со дня изменений.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Споры, возникающие при заключении, изменении, расторжении и исполнении настоящего охранного обязательства, разрешаются в судебном порядке.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Прочие условия.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охраны может уточняться по итогам натурных исследований, а также на основании дополнительных материалов, которые могут быть выявлены в ходе разработки научно-проектной документации, натурных исследований и при производстве на Памятнике ремонтно-реставрационных работ, утверждается приказом МК РТ.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охранное обязательство составляется в трех экземплярах: один экземпляр хранится в Исполком, один экземпляр - у «Собственника» (Пользователя) и один экземпляр – представляется в ФБУ Государственная регистрационная палата при министерстве юстиции Российской Федерации для регистрации обременения.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 технического состояния Памятника.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 на дату заключения охранного обязательства.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с указанием утвержденных границ территории памятника (при наличии материала).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из аннотированного списка (при наличии).</w:t>
      </w:r>
    </w:p>
    <w:p w:rsidR="00B52338" w:rsidRPr="00B52338" w:rsidRDefault="00B52338" w:rsidP="00B52338">
      <w:pPr>
        <w:widowControl w:val="0"/>
        <w:tabs>
          <w:tab w:val="left" w:pos="-1440"/>
          <w:tab w:val="left" w:pos="5535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tabs>
          <w:tab w:val="left" w:pos="-1440"/>
          <w:tab w:val="left" w:pos="5535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и реквизиты Сторон: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788"/>
        <w:gridCol w:w="5580"/>
      </w:tblGrid>
      <w:tr w:rsidR="00B52338" w:rsidRPr="00B52338" w:rsidTr="00C2652D">
        <w:tc>
          <w:tcPr>
            <w:tcW w:w="4788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«Собственник» (Пользователь):</w:t>
            </w:r>
          </w:p>
        </w:tc>
        <w:tc>
          <w:tcPr>
            <w:tcW w:w="558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комитет:</w:t>
            </w:r>
          </w:p>
        </w:tc>
      </w:tr>
      <w:tr w:rsidR="00B52338" w:rsidRPr="00B52338" w:rsidTr="00C2652D">
        <w:tc>
          <w:tcPr>
            <w:tcW w:w="4788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B52338" w:rsidRPr="00B52338" w:rsidRDefault="00B52338" w:rsidP="00B5233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</w:t>
            </w:r>
          </w:p>
        </w:tc>
        <w:tc>
          <w:tcPr>
            <w:tcW w:w="558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pBdr>
                <w:bottom w:val="single" w:sz="12" w:space="1" w:color="auto"/>
              </w:pBdr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2338" w:rsidRPr="00B52338" w:rsidRDefault="00B52338" w:rsidP="00B52338">
      <w:pPr>
        <w:widowControl w:val="0"/>
        <w:tabs>
          <w:tab w:val="left" w:pos="-1440"/>
          <w:tab w:val="left" w:pos="1097"/>
        </w:tabs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788"/>
        <w:gridCol w:w="5580"/>
      </w:tblGrid>
      <w:tr w:rsidR="00B52338" w:rsidRPr="00B52338" w:rsidTr="00C2652D">
        <w:tc>
          <w:tcPr>
            <w:tcW w:w="4788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34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Юридический/ почтовый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адрес: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</w:t>
            </w:r>
          </w:p>
        </w:tc>
        <w:tc>
          <w:tcPr>
            <w:tcW w:w="558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34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Юридический/ почтовый адрес:</w:t>
            </w:r>
          </w:p>
          <w:p w:rsidR="00B52338" w:rsidRPr="00B52338" w:rsidRDefault="00B52338" w:rsidP="00B52338">
            <w:pPr>
              <w:widowControl w:val="0"/>
              <w:tabs>
                <w:tab w:val="left" w:pos="34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____________________________________ </w:t>
            </w:r>
          </w:p>
        </w:tc>
      </w:tr>
      <w:tr w:rsidR="00B52338" w:rsidRPr="00B52338" w:rsidTr="00C2652D">
        <w:tc>
          <w:tcPr>
            <w:tcW w:w="4788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34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Реквизиты: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34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телефоны:</w:t>
            </w:r>
          </w:p>
          <w:p w:rsidR="00B52338" w:rsidRPr="00B52338" w:rsidRDefault="00B52338" w:rsidP="00B52338">
            <w:pPr>
              <w:widowControl w:val="0"/>
              <w:tabs>
                <w:tab w:val="left" w:pos="34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34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Реквизиты: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52338" w:rsidRPr="00B52338" w:rsidRDefault="00B52338" w:rsidP="00B52338">
            <w:pPr>
              <w:widowControl w:val="0"/>
              <w:tabs>
                <w:tab w:val="left" w:pos="34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телефоны:</w:t>
            </w:r>
          </w:p>
          <w:p w:rsidR="00B52338" w:rsidRPr="00B52338" w:rsidRDefault="00B52338" w:rsidP="00B5233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338" w:rsidRPr="00B52338" w:rsidRDefault="00B52338" w:rsidP="00B52338">
      <w:pPr>
        <w:widowControl w:val="0"/>
        <w:tabs>
          <w:tab w:val="left" w:pos="-1440"/>
          <w:tab w:val="left" w:pos="1097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Подписи: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4968"/>
        <w:gridCol w:w="5380"/>
      </w:tblGrid>
      <w:tr w:rsidR="00B52338" w:rsidRPr="00B52338" w:rsidTr="00C2652D">
        <w:tc>
          <w:tcPr>
            <w:tcW w:w="4968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«Собственник» (Пользователь):</w:t>
            </w:r>
          </w:p>
        </w:tc>
        <w:tc>
          <w:tcPr>
            <w:tcW w:w="538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Представитель Исполкома:</w:t>
            </w:r>
          </w:p>
        </w:tc>
      </w:tr>
      <w:tr w:rsidR="00B52338" w:rsidRPr="00B52338" w:rsidTr="00C2652D">
        <w:tc>
          <w:tcPr>
            <w:tcW w:w="4968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4968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______________________Ф.И.О.</w:t>
            </w:r>
          </w:p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                                                               </w:t>
            </w:r>
          </w:p>
          <w:p w:rsidR="00B52338" w:rsidRPr="00B52338" w:rsidRDefault="00B52338" w:rsidP="00B5233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 20___г.</w:t>
            </w:r>
          </w:p>
        </w:tc>
        <w:tc>
          <w:tcPr>
            <w:tcW w:w="538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tabs>
                <w:tab w:val="left" w:pos="-1440"/>
                <w:tab w:val="left" w:pos="10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_________________Ф.И.О.</w:t>
            </w:r>
          </w:p>
          <w:p w:rsidR="00B52338" w:rsidRPr="00B52338" w:rsidRDefault="00B52338" w:rsidP="00B5233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B52338" w:rsidRPr="00B52338" w:rsidRDefault="00B52338" w:rsidP="00B5233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 20___г.</w:t>
            </w:r>
          </w:p>
        </w:tc>
      </w:tr>
    </w:tbl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338" w:rsidRPr="00B52338" w:rsidSect="00097F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№3 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2539</wp:posOffset>
                </wp:positionV>
                <wp:extent cx="6815455" cy="0"/>
                <wp:effectExtent l="0" t="0" r="2349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22.35pt;margin-top:.2pt;width:536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+2TgIAAFY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"/>
            </w:pict>
          </mc:Fallback>
        </mc:AlternateContent>
      </w: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муниципального органа охраны объектов культурного наследия)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 20___г. 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состояния объекта культурного наследия (далее - Памятник) местного (муниципального) значения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определения плана работ по Памятнику и благоустройству его территории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представитель Исполнительного комитета _________________ (далее - Исполком) в лице начальника (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начальника) отдела охраны памятников архитектуры и культурного наследия Исполкома ________________, с одной стороны, и Собственник (Пользователь)________________________________________________________ 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учреждения, организации, использующей памятник)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составили настоящий акт о том, что «___» _______________ 20____г.  нами произведен технический осмотр Памятника: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«________________________________________________________________»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(историческое наименование объекта)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осмотра памятника установлено: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Техническое состояние Памятника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состояние памятника: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характеристика состояния здания или комплекса как памятника истории и культуры в целом,  справка о датах и истории его сооружения)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Состояние внешних архитектурно-конструктивных элементов памятника (выполнено на основании визуального осмотра):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общее состояние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фундаменты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цоколи и </w:t>
      </w:r>
      <w:proofErr w:type="spell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отмостки</w:t>
      </w:r>
      <w:proofErr w:type="spellEnd"/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стены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 крыша (стропила, решетка, кровли, водосточные желоба и трубы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 главы, шатры, их конструкция и покрытие: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ж) внешнее декоративное убранство (облицовка, окраска, резные украшения, карнизы, колонны, пилястры, лепнина, скульптура, живопись на фасадах: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Состояние внутренних архитектурно-конструктивных и декоративных элементов памятника: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общее состояние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перекрытия (плоские, сводчатые, купольные и др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в) полы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 стены, их состояние, связи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 столбы, колонны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 двери и окна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ж) лестницы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з) лепные, скульптурные и проч. декоративные элементы</w:t>
      </w:r>
      <w:proofErr w:type="gramStart"/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____________;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Живопись (монументальная, станковая):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__________________________;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Предметы прикладного искусства (мебель, осветительные приборы, резьба по дереву, металлу и пр.):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Сад, парк, двор, ворота и ограда: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План ремонтно-реставрационных работ и благоустройства территории памятника истории и культуры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памятника и создания  условий для его использования Собственник (Пользователь) обязан провести следующие работы: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B52338" w:rsidRPr="00B52338" w:rsidTr="00C2652D">
        <w:tc>
          <w:tcPr>
            <w:tcW w:w="2605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5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проектных работ</w:t>
            </w:r>
          </w:p>
        </w:tc>
        <w:tc>
          <w:tcPr>
            <w:tcW w:w="2605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606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2338" w:rsidRPr="00B52338" w:rsidTr="00C2652D">
        <w:tc>
          <w:tcPr>
            <w:tcW w:w="2605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338" w:rsidRPr="00B52338" w:rsidTr="00C2652D">
        <w:tc>
          <w:tcPr>
            <w:tcW w:w="2605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338" w:rsidRPr="00B52338" w:rsidRDefault="00B52338" w:rsidP="00B52338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производство работ разрешается только в соответствии с согласованной с МК РТ проектной документацией, при наличии  положительного заключения государственной историко-культурной экспертизы, задания, разрешения на производства работ, архитектурного надзора и предварительного уведомления Исполкома. </w:t>
      </w:r>
      <w:proofErr w:type="gramEnd"/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Особые условия использования памятника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Здание может быть использовано Собственником только с соблюдением условий, предусмотренных действующим законодательством Российской Федерации.</w:t>
      </w: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2.Проектная документация в полном объеме,  включая отчеты по выполнению работ в одном экземпляре, передаются Собственником в 10 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 Исполком безвозмездно.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52338" w:rsidRPr="00B52338" w:rsidTr="00C2652D">
        <w:tc>
          <w:tcPr>
            <w:tcW w:w="521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(Пользователь)</w:t>
            </w:r>
          </w:p>
        </w:tc>
        <w:tc>
          <w:tcPr>
            <w:tcW w:w="5211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Исполкома</w:t>
            </w:r>
          </w:p>
        </w:tc>
      </w:tr>
      <w:tr w:rsidR="00B52338" w:rsidRPr="00B52338" w:rsidTr="00C2652D">
        <w:tc>
          <w:tcPr>
            <w:tcW w:w="521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5211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</w:tr>
      <w:tr w:rsidR="00B52338" w:rsidRPr="00B52338" w:rsidTr="00C2652D">
        <w:tc>
          <w:tcPr>
            <w:tcW w:w="521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5211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52338" w:rsidRPr="00B52338" w:rsidTr="00C2652D">
        <w:tc>
          <w:tcPr>
            <w:tcW w:w="521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Ф.И.О.:_______________________</w:t>
            </w:r>
          </w:p>
        </w:tc>
        <w:tc>
          <w:tcPr>
            <w:tcW w:w="5211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 ______________________</w:t>
            </w:r>
          </w:p>
        </w:tc>
      </w:tr>
      <w:tr w:rsidR="00B52338" w:rsidRPr="00B52338" w:rsidTr="00C2652D">
        <w:tc>
          <w:tcPr>
            <w:tcW w:w="521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Подпись:______________________</w:t>
            </w:r>
          </w:p>
        </w:tc>
        <w:tc>
          <w:tcPr>
            <w:tcW w:w="5211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Подпись:_______________</w:t>
            </w:r>
          </w:p>
        </w:tc>
      </w:tr>
      <w:tr w:rsidR="00B52338" w:rsidRPr="00B52338" w:rsidTr="00C2652D">
        <w:tc>
          <w:tcPr>
            <w:tcW w:w="5210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 20______г.</w:t>
            </w:r>
          </w:p>
        </w:tc>
        <w:tc>
          <w:tcPr>
            <w:tcW w:w="5211" w:type="dxa"/>
            <w:shd w:val="clear" w:color="auto" w:fill="auto"/>
          </w:tcPr>
          <w:p w:rsidR="00B52338" w:rsidRPr="00B52338" w:rsidRDefault="00B52338" w:rsidP="00B52338">
            <w:pPr>
              <w:widowControl w:val="0"/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 20_____ г.</w:t>
            </w:r>
          </w:p>
        </w:tc>
      </w:tr>
    </w:tbl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338" w:rsidRPr="00B52338" w:rsidSect="00097F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2338" w:rsidRPr="00B52338" w:rsidRDefault="00B52338" w:rsidP="00B52338">
      <w:pPr>
        <w:widowControl w:val="0"/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B52338" w:rsidRPr="00B52338" w:rsidRDefault="00B52338" w:rsidP="00B523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33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последовательности действий по предоставлению муниципальной услуги по выдаче охранного обязательства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3647" w:dyaOrig="2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21" o:title=""/>
          </v:shape>
          <o:OLEObject Type="Embed" ProgID="Visio.Drawing.11" ShapeID="_x0000_i1025" DrawAspect="Content" ObjectID="_1515829135" r:id="rId22"/>
        </w:object>
      </w: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2338" w:rsidRPr="00B52338" w:rsidRDefault="00B52338" w:rsidP="00B523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B52338" w:rsidRPr="00B52338" w:rsidRDefault="00B52338" w:rsidP="00B523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33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последовательности действий по предоставлению муниципальной услуги  по переоформлению охранного обязательства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38" w:rsidRPr="00B52338" w:rsidRDefault="00B52338" w:rsidP="00B523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3647" w:dyaOrig="20622">
          <v:shape id="_x0000_i1026" type="#_x0000_t75" style="width:525pt;height:613.5pt" o:ole="">
            <v:imagedata r:id="rId23" o:title=""/>
          </v:shape>
          <o:OLEObject Type="Embed" ProgID="Visio.Drawing.11" ShapeID="_x0000_i1026" DrawAspect="Content" ObjectID="_1515829136" r:id="rId24"/>
        </w:object>
      </w: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№6</w:t>
      </w:r>
    </w:p>
    <w:p w:rsidR="00B52338" w:rsidRPr="00B52338" w:rsidRDefault="00B52338" w:rsidP="00B523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33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последовательности действий по предоставлению муниципальной услуги выдаче дубликата охранного обязательства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38" w:rsidRPr="00B52338" w:rsidRDefault="00B52338" w:rsidP="00B52338">
      <w:pPr>
        <w:tabs>
          <w:tab w:val="left" w:pos="8535"/>
          <w:tab w:val="right" w:pos="10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3647" w:dyaOrig="20622">
          <v:shape id="_x0000_i1027" type="#_x0000_t75" style="width:525pt;height:613.5pt" o:ole="">
            <v:imagedata r:id="rId23" o:title=""/>
          </v:shape>
          <o:OLEObject Type="Embed" ProgID="Visio.Drawing.11" ShapeID="_x0000_i1027" DrawAspect="Content" ObjectID="_1515829137" r:id="rId25"/>
        </w:object>
      </w:r>
    </w:p>
    <w:p w:rsidR="00B52338" w:rsidRPr="00B52338" w:rsidRDefault="00B52338" w:rsidP="00B52338">
      <w:pPr>
        <w:tabs>
          <w:tab w:val="left" w:pos="8535"/>
          <w:tab w:val="right" w:pos="10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B52338" w:rsidRPr="00B52338" w:rsidSect="00097F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2338" w:rsidRPr="00B52338" w:rsidRDefault="00B52338" w:rsidP="00B5233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№7</w:t>
      </w:r>
    </w:p>
    <w:p w:rsidR="00B52338" w:rsidRPr="00B52338" w:rsidRDefault="00B52338" w:rsidP="00B52338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удаленных рабочих мест и график приема документов</w:t>
      </w:r>
    </w:p>
    <w:p w:rsidR="00B52338" w:rsidRPr="00B52338" w:rsidRDefault="00B52338" w:rsidP="00B5233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928"/>
        <w:gridCol w:w="2574"/>
      </w:tblGrid>
      <w:tr w:rsidR="00B52338" w:rsidRPr="00B52338" w:rsidTr="00C26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38" w:rsidRPr="00B52338" w:rsidRDefault="00B52338" w:rsidP="00B5233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38" w:rsidRPr="00B52338" w:rsidRDefault="00B52338" w:rsidP="00B5233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38" w:rsidRPr="00B52338" w:rsidRDefault="00B52338" w:rsidP="00B5233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38" w:rsidRPr="00B52338" w:rsidRDefault="00B52338" w:rsidP="00B5233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</w:t>
            </w:r>
          </w:p>
          <w:p w:rsidR="00B52338" w:rsidRPr="00B52338" w:rsidRDefault="00B52338" w:rsidP="00B5233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B52338" w:rsidRPr="00B52338" w:rsidTr="00C26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Большие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Кайбицы, ул. Солнечный бульвар, д.15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Б.Кайбицы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с.Ст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Чечкабы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Афанасьевка,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Семикеево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Багаево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Салтыганово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расланово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Бурундуки,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Шушерма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М.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Чукри-Аланово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Бушанча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Подберезье, с. М. Подберезье, д. Сосновка, д. Каргала,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Плетени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ж/д.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Беляево, д. Н.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Кушманы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лес-во,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М.Меми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Имянле-Буртас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Малалла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Новое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Патрикеево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Молькеево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П.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, д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Баймурзино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Мурали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Надеждино,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Муратово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Кичкеево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Репьевка, п.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Ч.Ключи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Тябердино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Янсуринское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Камылово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Ульянково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Корноухово, п. Воскресенское, д. Победа, с. Федоровское,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Хозесаново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Александровка,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Кушкуль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Турминское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Чутеево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Тябердино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Эбалаково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Берлибаш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М. Кайбицы, д. М.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Берлибаш</w:t>
            </w:r>
            <w:proofErr w:type="spellEnd"/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52338" w:rsidRPr="00B52338" w:rsidTr="00C26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Большое Подберезье,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лощадь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Свободы, д.31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Б.Кайбицы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с.Ст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Чечкабы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Афанасьевка,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Семикеево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Багаево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Салтыганово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расланово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Бурундуки,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Шушерма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М.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Чукри-Аланово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Бушанча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Подберезье, с. М. Подберезье, д. Сосновка, д. Каргала,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Плетени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ж/д.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Беляево, д. Н.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Кушманы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лес-во,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М.Меми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Имянле-Буртас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Малалла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Новое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Патрикеево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Молькеево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П.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, д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Баймурзино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Мурали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Надеждино,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Муратово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Кичкеево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Репьевка, п.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Ч.Ключи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Тябердино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Янсуринское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Камылово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Ульянково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Корноухово, п. Воскресенское, д. Победа, с. Федоровское,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Хозесаново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Александровка,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Кушкуль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Турминское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Чутеево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Тябердино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Эбалаково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Берлибаш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М. Кайбицы, д. М.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Берлибаш</w:t>
            </w:r>
            <w:proofErr w:type="spellEnd"/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52338" w:rsidRPr="00B52338" w:rsidTr="00C26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Чутеево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, ул. Кооперативная, д.37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Б.Кайбицы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с.Ст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Чечкабы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Афанасьевка,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Семикеево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Багаево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Салтыганово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расланово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Бурундуки,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Шушерма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М.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Чукри-Аланово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Бушанча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Б. Подберезье, с. М. Подберезье, д. Сосновка, д. Каргала,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Плетени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ж/д.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Беляево, д. Н.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Кушманы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лес-во,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М.Меми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Имянле-Буртас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Малалла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Новое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Патрикеево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Молькеево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П.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, д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Баймурзино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Мурали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Надеждино,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Муратово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Кичкеево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Репьевка, п.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Ч.Ключи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Тябердино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Янсуринское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Камылово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Ульянково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Корноухово, п. Воскресенское, д. Победа, с. Федоровское,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Хозесаново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Александровка,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Кушкуль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Турминское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Чутеево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Тябердино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Эбалаково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Берлибаш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М. Кайбицы, д. М.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Берлибаш</w:t>
            </w:r>
            <w:proofErr w:type="spellEnd"/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52338" w:rsidRPr="00B52338" w:rsidTr="00C265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Большие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Кайбицы, ул. Солнечный бульвар, д.15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Б.Кайбицы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с.Ст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Чечкабы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Афанасьевка,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Семикеево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Багаево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Салтыганово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расланово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Бурундуки,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Шушерма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М.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Чукри-Аланово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Бушанча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Подберезье, с. М. Подберезье, д. Сосновка, д. Каргала,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Плетени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ж/д.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Беляево, д. Н.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Кушманы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Русаковское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лес-во,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М.Меми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Имянле-Буртас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Малалла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Новое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Патрикеево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Молькеево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П.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Буа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, д</w:t>
            </w:r>
            <w:proofErr w:type="gram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Баймурзино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Мурали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Куланга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Надеждино,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Муратово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Кичкеево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Репьевка, п.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Ч.Ключи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Ст.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Тябердино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Янсуринское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Камылово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Ульянково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Корноухово, п. Воскресенское, д. Победа, с. Федоровское,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Хозесаново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 Александровка, д.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Кушкуль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Турминское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Чутеево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Б.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Тябердино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Эбалаково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Берлибаш</w:t>
            </w:r>
            <w:proofErr w:type="spellEnd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М. Кайбицы, д. М. </w:t>
            </w:r>
            <w:proofErr w:type="spellStart"/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t>Берлибаш</w:t>
            </w:r>
            <w:proofErr w:type="spellEnd"/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3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B52338" w:rsidRPr="00B52338" w:rsidRDefault="00B52338" w:rsidP="00B523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br w:type="page"/>
      </w:r>
    </w:p>
    <w:p w:rsidR="00B52338" w:rsidRP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№8</w:t>
      </w:r>
    </w:p>
    <w:p w:rsidR="00B52338" w:rsidRP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B52338" w:rsidRPr="00B52338" w:rsidRDefault="00B52338" w:rsidP="00B5233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Кайбицкого муниципального района Республики Татарстан</w:t>
      </w:r>
    </w:p>
    <w:p w:rsidR="00B52338" w:rsidRPr="00B52338" w:rsidRDefault="00B52338" w:rsidP="00B5233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B52338" w:rsidRPr="00B52338" w:rsidRDefault="00B52338" w:rsidP="00B523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52338" w:rsidRPr="00B52338" w:rsidRDefault="00B52338" w:rsidP="00B523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B52338" w:rsidRPr="00B52338" w:rsidRDefault="00B52338" w:rsidP="00B523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B52338" w:rsidRPr="00B52338" w:rsidRDefault="00B52338" w:rsidP="00B52338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B52338" w:rsidRPr="00B52338" w:rsidRDefault="00B52338" w:rsidP="00B52338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B52338" w:rsidRPr="00B52338" w:rsidRDefault="00B52338" w:rsidP="00B52338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52338" w:rsidRPr="00B52338" w:rsidRDefault="00B52338" w:rsidP="00B52338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B52338" w:rsidRPr="00B52338" w:rsidRDefault="00B52338" w:rsidP="00B52338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B52338" w:rsidRPr="00B52338" w:rsidRDefault="00B52338" w:rsidP="00B52338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52338" w:rsidRPr="00B52338" w:rsidRDefault="00B52338" w:rsidP="00B52338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B52338" w:rsidRPr="00B52338" w:rsidRDefault="00B52338" w:rsidP="00B52338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B52338" w:rsidRPr="00B52338" w:rsidRDefault="00B52338" w:rsidP="00B52338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B523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B523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</w:t>
      </w:r>
      <w:r w:rsidRPr="00B523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сведения. </w:t>
      </w:r>
    </w:p>
    <w:p w:rsidR="00B52338" w:rsidRPr="00B52338" w:rsidRDefault="00B52338" w:rsidP="00B523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B52338" w:rsidRPr="00B52338" w:rsidRDefault="00B52338" w:rsidP="00B523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B52338" w:rsidRPr="00B52338" w:rsidRDefault="00B52338" w:rsidP="00B523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B52338" w:rsidRP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B52338" w:rsidRPr="00B52338" w:rsidSect="0094651B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B52338" w:rsidRP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B52338" w:rsidRPr="00B52338" w:rsidSect="00097F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2338" w:rsidRP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338" w:rsidRDefault="00B52338" w:rsidP="00B52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B52338" w:rsidRDefault="00B52338" w:rsidP="00B52338"/>
                  </w:txbxContent>
                </v:textbox>
              </v:shape>
            </w:pict>
          </mc:Fallback>
        </mc:AlternateContent>
      </w:r>
      <w:r w:rsidRPr="00B523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Приложение </w:t>
      </w:r>
    </w:p>
    <w:p w:rsidR="00B52338" w:rsidRPr="00B52338" w:rsidRDefault="00B52338" w:rsidP="00B523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(справочное) </w:t>
      </w:r>
    </w:p>
    <w:p w:rsidR="00B52338" w:rsidRPr="00B52338" w:rsidRDefault="00B52338" w:rsidP="00B52338">
      <w:pPr>
        <w:tabs>
          <w:tab w:val="left" w:pos="8790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Исполком Кайбицкого муниципального района</w:t>
      </w: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1817"/>
        <w:gridCol w:w="8"/>
        <w:gridCol w:w="4015"/>
      </w:tblGrid>
      <w:tr w:rsidR="00B52338" w:rsidRPr="00B52338" w:rsidTr="00B52338">
        <w:trPr>
          <w:trHeight w:val="48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B52338" w:rsidRPr="00B52338" w:rsidTr="00B52338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исполкома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8(84370) 2-11-04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Aleksey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Makarov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@tatar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52338" w:rsidRPr="00B52338" w:rsidTr="00B52338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исполкома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8(84370) 2-11-21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Daniya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Badertdinova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52338" w:rsidRPr="00B52338" w:rsidTr="00B52338"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8(84370) 2-1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6-72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Рамиля 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Аблязова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&lt;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rokkaibych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rambler</w:t>
            </w:r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&gt;</w:t>
            </w:r>
          </w:p>
        </w:tc>
      </w:tr>
    </w:tbl>
    <w:p w:rsidR="00B52338" w:rsidRPr="00B52338" w:rsidRDefault="00B52338" w:rsidP="00B52338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Кайбицкого муниципального района</w:t>
      </w:r>
    </w:p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1845"/>
        <w:gridCol w:w="3962"/>
      </w:tblGrid>
      <w:tr w:rsidR="00B52338" w:rsidRPr="00B52338" w:rsidTr="00C2652D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B52338" w:rsidRPr="00B52338" w:rsidTr="00C2652D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8(84370) 2-11-00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8" w:rsidRPr="00B52338" w:rsidRDefault="00B52338" w:rsidP="00B52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    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Kaybicy.Admin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proofErr w:type="spellEnd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B5233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B52338" w:rsidRPr="00B52338" w:rsidRDefault="00B52338" w:rsidP="00B52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54F" w:rsidRDefault="00AC154F" w:rsidP="00B52338">
      <w:pPr>
        <w:spacing w:after="0" w:line="240" w:lineRule="auto"/>
        <w:jc w:val="center"/>
      </w:pPr>
    </w:p>
    <w:sectPr w:rsidR="00AC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48" w:rsidRDefault="00B72648" w:rsidP="00B52338">
      <w:pPr>
        <w:spacing w:after="0" w:line="240" w:lineRule="auto"/>
      </w:pPr>
      <w:r>
        <w:separator/>
      </w:r>
    </w:p>
  </w:endnote>
  <w:endnote w:type="continuationSeparator" w:id="0">
    <w:p w:rsidR="00B72648" w:rsidRDefault="00B72648" w:rsidP="00B5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48" w:rsidRDefault="00B72648" w:rsidP="00B52338">
      <w:pPr>
        <w:spacing w:after="0" w:line="240" w:lineRule="auto"/>
      </w:pPr>
      <w:r>
        <w:separator/>
      </w:r>
    </w:p>
  </w:footnote>
  <w:footnote w:type="continuationSeparator" w:id="0">
    <w:p w:rsidR="00B72648" w:rsidRDefault="00B72648" w:rsidP="00B52338">
      <w:pPr>
        <w:spacing w:after="0" w:line="240" w:lineRule="auto"/>
      </w:pPr>
      <w:r>
        <w:continuationSeparator/>
      </w:r>
    </w:p>
  </w:footnote>
  <w:footnote w:id="1">
    <w:p w:rsidR="00B52338" w:rsidRDefault="00B52338" w:rsidP="00B52338">
      <w:pPr>
        <w:pStyle w:val="a7"/>
      </w:pPr>
      <w:r>
        <w:rPr>
          <w:rStyle w:val="a9"/>
        </w:rPr>
        <w:footnoteRef/>
      </w:r>
      <w:r>
        <w:t xml:space="preserve"> Длительность административных процедур исчисляется в рабочих днях.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FF5"/>
    <w:multiLevelType w:val="hybridMultilevel"/>
    <w:tmpl w:val="F3F4A280"/>
    <w:lvl w:ilvl="0" w:tplc="F5926346">
      <w:start w:val="1"/>
      <w:numFmt w:val="decimal"/>
      <w:lvlText w:val="%1)"/>
      <w:lvlJc w:val="left"/>
      <w:pPr>
        <w:ind w:left="123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60C05E42"/>
    <w:multiLevelType w:val="hybridMultilevel"/>
    <w:tmpl w:val="79BEF83E"/>
    <w:lvl w:ilvl="0" w:tplc="49A4999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7CB50614"/>
    <w:multiLevelType w:val="hybridMultilevel"/>
    <w:tmpl w:val="2B18A3A4"/>
    <w:lvl w:ilvl="0" w:tplc="CA42E27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5D"/>
    <w:rsid w:val="00353A28"/>
    <w:rsid w:val="0056296C"/>
    <w:rsid w:val="00693B41"/>
    <w:rsid w:val="008E415D"/>
    <w:rsid w:val="00AC154F"/>
    <w:rsid w:val="00B52338"/>
    <w:rsid w:val="00B72648"/>
    <w:rsid w:val="00B832F2"/>
    <w:rsid w:val="00EC530A"/>
    <w:rsid w:val="00E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52338"/>
  </w:style>
  <w:style w:type="paragraph" w:customStyle="1" w:styleId="ConsPlusTitle">
    <w:name w:val="ConsPlusTitle"/>
    <w:rsid w:val="00B5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5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52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523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rsid w:val="00B523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B523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5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B5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footnote text"/>
    <w:basedOn w:val="a"/>
    <w:link w:val="a8"/>
    <w:rsid w:val="00B5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52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523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52338"/>
  </w:style>
  <w:style w:type="paragraph" w:customStyle="1" w:styleId="ConsPlusTitle">
    <w:name w:val="ConsPlusTitle"/>
    <w:rsid w:val="00B5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52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52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523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rsid w:val="00B523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B523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5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B523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footnote text"/>
    <w:basedOn w:val="a"/>
    <w:link w:val="a8"/>
    <w:rsid w:val="00B52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B52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52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consultantplus://offline/ref=A425BA12E4EFE411EF8E7E17090D83CE9FF8961B537925968E451EC5D7M976L" TargetMode="External"/><Relationship Id="rId18" Type="http://schemas.openxmlformats.org/officeDocument/2006/relationships/hyperlink" Target="http://www.aksubayevo.tatar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25BA12E4EFE411EF8E7E17090D83CE9FF8961B507425968E451EC5D7M976L" TargetMode="External"/><Relationship Id="rId17" Type="http://schemas.openxmlformats.org/officeDocument/2006/relationships/hyperlink" Target="consultantplus://offline/ref=A425BA12E4EFE411EF8E601A1F61DEC196F0CB1256702AC6D31A4598809F042B0E44338BB8C0A9F3EA025EM074L" TargetMode="External"/><Relationship Id="rId25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A425BA12E4EFE411EF8E601A1F61DEC196F0CB1254722CC1D21A4598809F042BM07EL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25BA12E4EFE411EF8E7E17090D83CE9FFA911B5B7325968E451EC5D7M976L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consultantplus://offline/ref=A425BA12E4EFE411EF8E7E17090D83CE9FF8961C5B7625968E451EC5D7M976L" TargetMode="External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12367</Words>
  <Characters>70494</Characters>
  <Application>Microsoft Office Word</Application>
  <DocSecurity>0</DocSecurity>
  <Lines>587</Lines>
  <Paragraphs>165</Paragraphs>
  <ScaleCrop>false</ScaleCrop>
  <Company/>
  <LinksUpToDate>false</LinksUpToDate>
  <CharactersWithSpaces>82696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8</cp:revision>
  <dcterms:created xsi:type="dcterms:W3CDTF">2016-01-29T12:31:00Z</dcterms:created>
  <dcterms:modified xsi:type="dcterms:W3CDTF">2016-02-01T06:52:00Z</dcterms:modified>
</cp:coreProperties>
</file>